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06335D9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>–</w:t>
      </w:r>
      <w:r w:rsidR="00EF05B8">
        <w:rPr>
          <w:rFonts w:asciiTheme="minorHAnsi" w:hAnsiTheme="minorHAnsi" w:cs="Calibri"/>
          <w:b/>
          <w:bCs/>
          <w:sz w:val="28"/>
        </w:rPr>
        <w:t xml:space="preserve">NON-ASSOCIATION OR PLACE RESTRICTION </w:t>
      </w:r>
      <w:r w:rsidR="00D624D4">
        <w:rPr>
          <w:rFonts w:asciiTheme="minorHAnsi" w:hAnsiTheme="minorHAnsi" w:cs="Calibri"/>
          <w:b/>
          <w:bCs/>
          <w:sz w:val="28"/>
        </w:rPr>
        <w:t xml:space="preserve">ORDER </w:t>
      </w:r>
      <w:r w:rsidR="00C042FE">
        <w:rPr>
          <w:rFonts w:asciiTheme="minorHAnsi" w:hAnsiTheme="minorHAnsi" w:cs="Calibri"/>
          <w:b/>
          <w:bCs/>
          <w:sz w:val="28"/>
        </w:rPr>
        <w:t>(INTERIM ORDER SOUGHT)</w:t>
      </w:r>
    </w:p>
    <w:p w14:paraId="40E15DFB" w14:textId="77777777" w:rsidR="00A00465" w:rsidRPr="00256CA2" w:rsidRDefault="00A00465" w:rsidP="00780C5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8517659" w14:textId="7D95A34E" w:rsidR="007415A0" w:rsidRDefault="007871F1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>
        <w:rPr>
          <w:rFonts w:asciiTheme="minorHAnsi" w:hAnsiTheme="minorHAnsi" w:cs="Calibri"/>
          <w:iCs/>
        </w:rPr>
        <w:t>[</w:t>
      </w:r>
      <w:r w:rsidR="007415A0" w:rsidRPr="007871F1">
        <w:rPr>
          <w:rFonts w:asciiTheme="minorHAnsi" w:hAnsiTheme="minorHAnsi" w:cs="Calibri"/>
          <w:i/>
        </w:rPr>
        <w:t>MAGISTRATES</w:t>
      </w:r>
      <w:r w:rsidRPr="007871F1">
        <w:rPr>
          <w:rFonts w:asciiTheme="minorHAnsi" w:hAnsiTheme="minorHAnsi" w:cs="Calibri"/>
          <w:i/>
        </w:rPr>
        <w:t>/YOUTH</w:t>
      </w:r>
      <w:r>
        <w:rPr>
          <w:rFonts w:asciiTheme="minorHAnsi" w:hAnsiTheme="minorHAnsi" w:cs="Calibri"/>
          <w:iCs/>
        </w:rPr>
        <w:t>]</w:t>
      </w:r>
      <w:r w:rsidR="00D624D4" w:rsidRPr="00D624D4">
        <w:rPr>
          <w:rFonts w:asciiTheme="minorHAnsi" w:hAnsiTheme="minorHAnsi" w:cs="Calibri"/>
          <w:i/>
          <w:iCs/>
        </w:rPr>
        <w:t xml:space="preserve"> </w:t>
      </w:r>
      <w:r w:rsidR="00780C5E" w:rsidRPr="00780C5E">
        <w:rPr>
          <w:rFonts w:asciiTheme="minorHAnsi" w:hAnsiTheme="minorHAnsi" w:cs="Calibri"/>
          <w:b/>
          <w:bCs/>
          <w:sz w:val="12"/>
          <w:szCs w:val="12"/>
        </w:rPr>
        <w:t>select one</w:t>
      </w:r>
      <w:r w:rsidR="00780C5E" w:rsidRPr="00780C5E">
        <w:rPr>
          <w:rFonts w:asciiTheme="minorHAnsi" w:hAnsiTheme="minorHAnsi" w:cs="Calibri"/>
          <w:i/>
          <w:iCs/>
          <w:sz w:val="12"/>
          <w:szCs w:val="12"/>
        </w:rPr>
        <w:t xml:space="preserve"> </w:t>
      </w:r>
      <w:r w:rsidR="007415A0" w:rsidRPr="00F54491">
        <w:rPr>
          <w:rFonts w:asciiTheme="minorHAnsi" w:hAnsiTheme="minorHAnsi" w:cs="Calibri"/>
          <w:iCs/>
        </w:rPr>
        <w:t xml:space="preserve">COURT </w:t>
      </w:r>
      <w:r w:rsidR="007415A0" w:rsidRPr="00F54491">
        <w:rPr>
          <w:rFonts w:asciiTheme="minorHAnsi" w:hAnsiTheme="minorHAnsi" w:cs="Calibri"/>
          <w:bCs/>
        </w:rPr>
        <w:t>OF SOUTH AUSTRALIA</w:t>
      </w:r>
      <w:r w:rsidR="007415A0">
        <w:rPr>
          <w:rFonts w:asciiTheme="minorHAnsi" w:hAnsiTheme="minorHAnsi" w:cs="Calibri"/>
          <w:bCs/>
        </w:rPr>
        <w:t xml:space="preserve"> </w:t>
      </w:r>
    </w:p>
    <w:p w14:paraId="68362D0A" w14:textId="15E9E395" w:rsidR="007415A0" w:rsidRPr="00B74B2E" w:rsidRDefault="00C91487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494DAF">
        <w:rPr>
          <w:rFonts w:asciiTheme="minorHAnsi" w:hAnsiTheme="minorHAnsi" w:cs="Calibri"/>
          <w:iCs/>
        </w:rPr>
        <w:t xml:space="preserve">STATUTORY </w:t>
      </w:r>
      <w:r w:rsidR="007415A0" w:rsidRPr="00017403">
        <w:rPr>
          <w:rFonts w:asciiTheme="minorHAnsi" w:hAnsiTheme="minorHAnsi" w:cs="Calibri"/>
          <w:iCs/>
        </w:rPr>
        <w:t>JURISDICTION</w:t>
      </w:r>
      <w:bookmarkEnd w:id="0"/>
    </w:p>
    <w:p w14:paraId="016ACA74" w14:textId="22D0B6DF" w:rsidR="007415A0" w:rsidRPr="000E1CB3" w:rsidRDefault="007415A0" w:rsidP="000E1CB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0E1CB3">
        <w:rPr>
          <w:rFonts w:asciiTheme="minorHAnsi" w:hAnsiTheme="minorHAnsi" w:cs="Calibri"/>
          <w:b/>
        </w:rPr>
        <w:t>[</w:t>
      </w:r>
      <w:r w:rsidRPr="000E1CB3">
        <w:rPr>
          <w:rFonts w:asciiTheme="minorHAnsi" w:hAnsiTheme="minorHAnsi" w:cs="Calibri"/>
          <w:b/>
          <w:i/>
        </w:rPr>
        <w:t>FULL NAME</w:t>
      </w:r>
      <w:r w:rsidRPr="000E1CB3">
        <w:rPr>
          <w:rFonts w:asciiTheme="minorHAnsi" w:hAnsiTheme="minorHAnsi" w:cs="Calibri"/>
          <w:b/>
        </w:rPr>
        <w:t>]</w:t>
      </w:r>
    </w:p>
    <w:p w14:paraId="78E5743E" w14:textId="2779A359" w:rsidR="007415A0" w:rsidRPr="000E1CB3" w:rsidRDefault="007415A0" w:rsidP="00780C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0E1CB3" w:rsidDel="00897A6B">
        <w:rPr>
          <w:rFonts w:asciiTheme="minorHAnsi" w:hAnsiTheme="minorHAnsi" w:cs="Calibri"/>
          <w:b/>
        </w:rPr>
        <w:t xml:space="preserve">Applicant </w:t>
      </w:r>
    </w:p>
    <w:p w14:paraId="15A95FE5" w14:textId="77777777" w:rsidR="007415A0" w:rsidRPr="000E1CB3" w:rsidRDefault="007415A0" w:rsidP="000E1CB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0E1CB3">
        <w:rPr>
          <w:rFonts w:asciiTheme="minorHAnsi" w:hAnsiTheme="minorHAnsi" w:cs="Calibri"/>
          <w:b/>
        </w:rPr>
        <w:t>[</w:t>
      </w:r>
      <w:r w:rsidRPr="000E1CB3">
        <w:rPr>
          <w:rFonts w:asciiTheme="minorHAnsi" w:hAnsiTheme="minorHAnsi" w:cs="Calibri"/>
          <w:b/>
          <w:i/>
        </w:rPr>
        <w:t>FULL NAME</w:t>
      </w:r>
      <w:r w:rsidRPr="000E1CB3">
        <w:rPr>
          <w:rFonts w:asciiTheme="minorHAnsi" w:hAnsiTheme="minorHAnsi" w:cs="Calibri"/>
          <w:b/>
        </w:rPr>
        <w:t>]</w:t>
      </w:r>
    </w:p>
    <w:p w14:paraId="471ECA8C" w14:textId="440B0ECA" w:rsidR="007415A0" w:rsidRPr="00256CA2" w:rsidRDefault="007415A0" w:rsidP="00256CA2">
      <w:pPr>
        <w:spacing w:after="480"/>
        <w:ind w:right="142"/>
        <w:rPr>
          <w:rFonts w:cs="Arial"/>
          <w:b/>
          <w:sz w:val="12"/>
          <w:szCs w:val="12"/>
        </w:rPr>
      </w:pPr>
      <w:r w:rsidRPr="000E1CB3" w:rsidDel="00897A6B">
        <w:rPr>
          <w:rFonts w:asciiTheme="minorHAnsi" w:hAnsiTheme="minorHAnsi" w:cs="Calibri"/>
          <w:b/>
        </w:rPr>
        <w:t>Responden</w:t>
      </w:r>
      <w:r w:rsidR="00256CA2">
        <w:rPr>
          <w:rFonts w:asciiTheme="minorHAnsi" w:hAnsiTheme="minorHAnsi" w:cs="Calibri"/>
          <w:b/>
        </w:rPr>
        <w:t>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326AB97B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2E109EB2" w:rsidR="007415A0" w:rsidRPr="009C0B31" w:rsidRDefault="00FD16DD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335F23F1" w14:textId="77777777" w:rsidR="00780C5E" w:rsidRDefault="00780C5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233FF9B1" w14:textId="586EF2A2" w:rsidR="007415A0" w:rsidRPr="00B74B2E" w:rsidRDefault="007415A0" w:rsidP="007415A0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Respondents</w:t>
      </w:r>
      <w:r w:rsidR="009C10E5">
        <w:rPr>
          <w:rFonts w:eastAsia="Calibri" w:cs="Arial"/>
          <w:b/>
          <w:sz w:val="12"/>
          <w:szCs w:val="22"/>
        </w:rPr>
        <w:t xml:space="preserve"> 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5870CAD8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8716E2A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D92C04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7004C554" w14:textId="77777777" w:rsidR="00E6662E" w:rsidRPr="00E6662E" w:rsidRDefault="00E6662E" w:rsidP="007415A0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774334EB" w:rsidR="001518CC" w:rsidRPr="00256CA2" w:rsidRDefault="00A648B8" w:rsidP="00256CA2">
            <w:pPr>
              <w:spacing w:before="12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543B95B0" w14:textId="10EFC4DD" w:rsidR="001D4A45" w:rsidRPr="00CD6FAC" w:rsidRDefault="00CD6FAC" w:rsidP="00560645">
            <w:pPr>
              <w:spacing w:before="120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4A206578" w14:textId="1D56146A" w:rsidR="00CD6FAC" w:rsidRPr="00CD6FAC" w:rsidRDefault="00CD6FAC" w:rsidP="00EB6E8C">
            <w:pPr>
              <w:spacing w:before="240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 for a</w:t>
            </w:r>
            <w:r w:rsidR="00243E00">
              <w:rPr>
                <w:rFonts w:cs="Arial"/>
              </w:rPr>
              <w:t xml:space="preserve"> Non-Association</w:t>
            </w:r>
            <w:r w:rsidR="00797FA7">
              <w:rPr>
                <w:rFonts w:cs="Arial"/>
              </w:rPr>
              <w:t xml:space="preserve"> Order</w:t>
            </w:r>
            <w:r w:rsidR="00243E00">
              <w:rPr>
                <w:rFonts w:cs="Arial"/>
              </w:rPr>
              <w:t xml:space="preserve"> or Place Restriction</w:t>
            </w:r>
            <w:r w:rsidRPr="00CD6FAC">
              <w:rPr>
                <w:rFonts w:cs="Arial"/>
              </w:rPr>
              <w:t xml:space="preserve"> </w:t>
            </w:r>
            <w:r w:rsidR="007415A0">
              <w:rPr>
                <w:rFonts w:cs="Arial"/>
              </w:rPr>
              <w:t>O</w:t>
            </w:r>
            <w:r w:rsidRPr="00CD6FAC">
              <w:rPr>
                <w:rFonts w:cs="Arial"/>
              </w:rPr>
              <w:t>rder.</w:t>
            </w:r>
          </w:p>
          <w:p w14:paraId="03BB0D4F" w14:textId="0B12CB2D" w:rsidR="00CD6FAC" w:rsidRPr="00CD6FAC" w:rsidRDefault="00CD6FAC" w:rsidP="00EB6E8C">
            <w:pPr>
              <w:spacing w:before="240" w:after="240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</w:t>
            </w:r>
            <w:r w:rsidR="00243E00">
              <w:rPr>
                <w:rFonts w:cs="Arial"/>
              </w:rPr>
              <w:t>cation is made under section 80</w:t>
            </w:r>
            <w:r w:rsidRPr="00CD6FAC">
              <w:rPr>
                <w:rFonts w:cs="Arial"/>
              </w:rPr>
              <w:t xml:space="preserve"> of the </w:t>
            </w:r>
            <w:r w:rsidRPr="00CD6FAC">
              <w:rPr>
                <w:rFonts w:cs="Arial"/>
                <w:i/>
              </w:rPr>
              <w:t>Criminal Procedure Act 1921.</w:t>
            </w:r>
          </w:p>
          <w:p w14:paraId="0B93D789" w14:textId="0D432356" w:rsidR="00243E00" w:rsidRPr="00243E00" w:rsidRDefault="00000D89" w:rsidP="00686DCF">
            <w:pPr>
              <w:spacing w:before="240"/>
              <w:ind w:right="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559BF0A8" w14:textId="2735A7BB" w:rsidR="00243E00" w:rsidRDefault="00000D89" w:rsidP="00000D89">
            <w:pPr>
              <w:spacing w:after="12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tbl>
            <w:tblPr>
              <w:tblStyle w:val="TableGrid"/>
              <w:tblW w:w="10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5"/>
              <w:gridCol w:w="9134"/>
            </w:tblGrid>
            <w:tr w:rsidR="00243E00" w:rsidRPr="00E71892" w14:paraId="16299EC0" w14:textId="77777777" w:rsidTr="008F6B70">
              <w:tc>
                <w:tcPr>
                  <w:tcW w:w="271" w:type="pct"/>
                </w:tcPr>
                <w:p w14:paraId="4EB8E6B6" w14:textId="77777777" w:rsidR="00243E00" w:rsidRPr="00F33293" w:rsidRDefault="00243E00" w:rsidP="00EC0159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271" w:type="pct"/>
                </w:tcPr>
                <w:p w14:paraId="2677B29B" w14:textId="77777777" w:rsidR="00243E00" w:rsidRPr="00F33293" w:rsidRDefault="00243E00" w:rsidP="00EC015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4458" w:type="pct"/>
                </w:tcPr>
                <w:p w14:paraId="590B99A8" w14:textId="335D121C" w:rsidR="00243E00" w:rsidRPr="00F33293" w:rsidRDefault="00243E00" w:rsidP="00EC0159">
                  <w:pPr>
                    <w:tabs>
                      <w:tab w:val="left" w:pos="739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eastAsia="Arial" w:cs="Arial"/>
                      <w:szCs w:val="24"/>
                      <w:lang w:bidi="en-US"/>
                    </w:rPr>
                    <w:t>A</w:t>
                  </w:r>
                  <w:r w:rsidR="008F6B70">
                    <w:rPr>
                      <w:rFonts w:eastAsia="Arial" w:cs="Arial"/>
                      <w:szCs w:val="24"/>
                      <w:lang w:bidi="en-US"/>
                    </w:rPr>
                    <w:t xml:space="preserve"> </w:t>
                  </w:r>
                  <w:r w:rsidRPr="00F33293">
                    <w:rPr>
                      <w:rFonts w:cs="Arial"/>
                    </w:rPr>
                    <w:t xml:space="preserve">Place Restriction Order be issued against the </w:t>
                  </w:r>
                  <w:r>
                    <w:rPr>
                      <w:rFonts w:cs="Arial"/>
                    </w:rPr>
                    <w:t>Respondent</w:t>
                  </w:r>
                  <w:r w:rsidRPr="00F33293">
                    <w:rPr>
                      <w:rFonts w:cs="Arial"/>
                    </w:rPr>
                    <w:t xml:space="preserve"> under section 80(2) of the </w:t>
                  </w:r>
                  <w:r w:rsidRPr="00F33293">
                    <w:rPr>
                      <w:rFonts w:cs="Arial"/>
                      <w:i/>
                    </w:rPr>
                    <w:t xml:space="preserve">Criminal Procedure Act 1921 </w:t>
                  </w:r>
                  <w:r w:rsidRPr="00F33293">
                    <w:rPr>
                      <w:rFonts w:cs="Arial"/>
                    </w:rPr>
                    <w:t>in the following terms:</w:t>
                  </w:r>
                </w:p>
                <w:p w14:paraId="3FD575F5" w14:textId="504874B9" w:rsidR="00243E00" w:rsidRPr="00E71892" w:rsidRDefault="00243E00" w:rsidP="00EC0159">
                  <w:pPr>
                    <w:pStyle w:val="ListParagraph"/>
                    <w:numPr>
                      <w:ilvl w:val="1"/>
                      <w:numId w:val="19"/>
                    </w:numPr>
                    <w:spacing w:line="276" w:lineRule="auto"/>
                    <w:ind w:left="32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the </w:t>
                  </w:r>
                  <w:r w:rsidRPr="007871F1">
                    <w:rPr>
                      <w:rFonts w:cs="Arial"/>
                      <w:iCs/>
                    </w:rPr>
                    <w:t>Respondent</w:t>
                  </w:r>
                  <w:r w:rsidRPr="00E71892">
                    <w:rPr>
                      <w:rFonts w:cs="Arial"/>
                    </w:rPr>
                    <w:t xml:space="preserve"> must not frequent or visit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address</w:t>
                  </w:r>
                  <w:r w:rsidRPr="00FB2473">
                    <w:rPr>
                      <w:rFonts w:cs="Arial"/>
                    </w:rPr>
                    <w:t>]</w:t>
                  </w:r>
                  <w:r w:rsidRPr="00E71892">
                    <w:rPr>
                      <w:rFonts w:cs="Arial"/>
                    </w:rPr>
                    <w:t xml:space="preserve">. </w:t>
                  </w:r>
                  <w:r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7B1B0F98" w14:textId="77777777" w:rsidR="00243E00" w:rsidRPr="00F33293" w:rsidRDefault="00243E00" w:rsidP="00EC0159">
                  <w:pPr>
                    <w:spacing w:line="276" w:lineRule="auto"/>
                    <w:ind w:left="320" w:hanging="320"/>
                    <w:rPr>
                      <w:rFonts w:cs="Arial"/>
                    </w:rPr>
                  </w:pPr>
                  <w:r w:rsidRPr="00F33293">
                    <w:rPr>
                      <w:rFonts w:cs="Arial"/>
                    </w:rPr>
                    <w:tab/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specified locations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>Criminal Procedure Act 1921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 s 79(3)-(4)</w:t>
                  </w:r>
                </w:p>
                <w:p w14:paraId="58322105" w14:textId="77777777" w:rsidR="00243E00" w:rsidRPr="00E71892" w:rsidRDefault="00243E00" w:rsidP="00EC0159">
                  <w:pPr>
                    <w:pStyle w:val="ListParagraph"/>
                    <w:numPr>
                      <w:ilvl w:val="0"/>
                      <w:numId w:val="18"/>
                    </w:numPr>
                    <w:spacing w:after="120" w:line="276" w:lineRule="auto"/>
                    <w:ind w:left="68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manner: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</w:p>
              </w:tc>
            </w:tr>
            <w:tr w:rsidR="00243E00" w:rsidRPr="00E71892" w14:paraId="0E909FA4" w14:textId="77777777" w:rsidTr="008F6B70">
              <w:tc>
                <w:tcPr>
                  <w:tcW w:w="271" w:type="pct"/>
                </w:tcPr>
                <w:p w14:paraId="55BBEEBC" w14:textId="77777777" w:rsidR="00243E00" w:rsidRPr="00F33293" w:rsidRDefault="00243E00" w:rsidP="00EC0159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271" w:type="pct"/>
                </w:tcPr>
                <w:p w14:paraId="25C28AF9" w14:textId="77777777" w:rsidR="00243E00" w:rsidRPr="00F33293" w:rsidRDefault="00243E00" w:rsidP="00EC015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4458" w:type="pct"/>
                </w:tcPr>
                <w:p w14:paraId="28C0C1B5" w14:textId="447F48E1" w:rsidR="00243E00" w:rsidRPr="00E71892" w:rsidRDefault="00243E00" w:rsidP="00EC0159">
                  <w:pPr>
                    <w:tabs>
                      <w:tab w:val="left" w:pos="739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eastAsia="Arial" w:cs="Arial"/>
                      <w:szCs w:val="24"/>
                      <w:lang w:bidi="en-US"/>
                    </w:rPr>
                    <w:t>A</w:t>
                  </w:r>
                  <w:r w:rsidR="008F6B70">
                    <w:rPr>
                      <w:rFonts w:eastAsia="Arial" w:cs="Arial"/>
                      <w:szCs w:val="24"/>
                      <w:lang w:bidi="en-US"/>
                    </w:rPr>
                    <w:t xml:space="preserve"> </w:t>
                  </w:r>
                  <w:r w:rsidRPr="00F33293">
                    <w:rPr>
                      <w:rFonts w:cs="Arial"/>
                    </w:rPr>
                    <w:t>Non-Association Order be issued against the</w:t>
                  </w:r>
                  <w:r>
                    <w:rPr>
                      <w:rFonts w:cs="Arial"/>
                    </w:rPr>
                    <w:t xml:space="preserve"> Respondent</w:t>
                  </w:r>
                  <w:r w:rsidRPr="00F33293">
                    <w:rPr>
                      <w:rFonts w:cs="Arial"/>
                    </w:rPr>
                    <w:t xml:space="preserve"> under section 80(2) of the </w:t>
                  </w:r>
                  <w:r w:rsidRPr="00F33293">
                    <w:rPr>
                      <w:rFonts w:cs="Arial"/>
                      <w:i/>
                    </w:rPr>
                    <w:t>Criminal Procedure Act 1921</w:t>
                  </w:r>
                  <w:r w:rsidR="00D9241C" w:rsidRPr="00F33293">
                    <w:rPr>
                      <w:rFonts w:cs="Arial"/>
                    </w:rPr>
                    <w:t xml:space="preserve"> in the following terms</w:t>
                  </w:r>
                  <w:r w:rsidRPr="00F33293">
                    <w:rPr>
                      <w:rFonts w:cs="Arial"/>
                    </w:rPr>
                    <w:t xml:space="preserve">: </w:t>
                  </w:r>
                </w:p>
                <w:p w14:paraId="05D4086F" w14:textId="341C3055" w:rsidR="00243E00" w:rsidRPr="00E71892" w:rsidRDefault="008F6B70" w:rsidP="00EC0159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320"/>
                    </w:tabs>
                    <w:spacing w:line="276" w:lineRule="auto"/>
                    <w:ind w:hanging="720"/>
                    <w:contextualSpacing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</w:t>
                  </w:r>
                  <w:r w:rsidR="00243E00">
                    <w:rPr>
                      <w:rFonts w:cs="Arial"/>
                    </w:rPr>
                    <w:t>.</w:t>
                  </w:r>
                  <w:r w:rsidR="00243E00">
                    <w:rPr>
                      <w:rFonts w:cs="Arial"/>
                    </w:rPr>
                    <w:tab/>
                  </w:r>
                  <w:r w:rsidR="00243E00" w:rsidRPr="00E71892">
                    <w:rPr>
                      <w:rFonts w:cs="Arial"/>
                    </w:rPr>
                    <w:t>the</w:t>
                  </w:r>
                  <w:r w:rsidR="00243E00">
                    <w:rPr>
                      <w:rFonts w:cs="Arial"/>
                    </w:rPr>
                    <w:t xml:space="preserve"> Respondent</w:t>
                  </w:r>
                  <w:r w:rsidR="00243E00" w:rsidRPr="00E71892">
                    <w:rPr>
                      <w:rFonts w:cs="Arial"/>
                    </w:rPr>
                    <w:t xml:space="preserve"> must not be in the company of </w:t>
                  </w:r>
                  <w:r w:rsidR="00243E00" w:rsidRPr="00FB2473">
                    <w:rPr>
                      <w:rFonts w:cs="Arial"/>
                    </w:rPr>
                    <w:t>[</w:t>
                  </w:r>
                  <w:r w:rsidR="00243E00" w:rsidRPr="00E71892">
                    <w:rPr>
                      <w:rFonts w:cs="Arial"/>
                      <w:i/>
                    </w:rPr>
                    <w:t>full name</w:t>
                  </w:r>
                  <w:r w:rsidR="00243E00" w:rsidRPr="00FB2473">
                    <w:rPr>
                      <w:rFonts w:cs="Arial"/>
                    </w:rPr>
                    <w:t>]</w:t>
                  </w:r>
                  <w:r w:rsidR="00243E00" w:rsidRPr="00E71892">
                    <w:rPr>
                      <w:rFonts w:cs="Arial"/>
                    </w:rPr>
                    <w:t>.</w:t>
                  </w:r>
                  <w:r w:rsidR="00243E00" w:rsidRPr="00E7189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43E00"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32544F56" w14:textId="77777777" w:rsidR="00243E00" w:rsidRPr="00F33293" w:rsidRDefault="00243E00" w:rsidP="00EC0159">
                  <w:pPr>
                    <w:pStyle w:val="ListParagraph"/>
                    <w:spacing w:line="276" w:lineRule="auto"/>
                    <w:contextualSpacing w:val="0"/>
                    <w:rPr>
                      <w:rFonts w:cs="Arial"/>
                    </w:rPr>
                  </w:pP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close family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 xml:space="preserve">Criminal Procedure Act 1921 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>s 79(1)-(2)</w:t>
                  </w:r>
                </w:p>
                <w:p w14:paraId="677454E1" w14:textId="77777777" w:rsidR="00243E00" w:rsidRPr="00E71892" w:rsidRDefault="00243E00" w:rsidP="00EC0159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76" w:lineRule="auto"/>
                    <w:ind w:left="117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manner: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</w:p>
                <w:p w14:paraId="74E9363E" w14:textId="3876F363" w:rsidR="00243E00" w:rsidRPr="00E71892" w:rsidRDefault="008F6B70" w:rsidP="00EC0159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320"/>
                    </w:tabs>
                    <w:spacing w:line="276" w:lineRule="auto"/>
                    <w:ind w:hanging="720"/>
                    <w:contextualSpacing w:val="0"/>
                    <w:rPr>
                      <w:rFonts w:cs="Arial"/>
                      <w:b/>
                      <w:sz w:val="14"/>
                    </w:rPr>
                  </w:pPr>
                  <w:r>
                    <w:rPr>
                      <w:rFonts w:cs="Arial"/>
                    </w:rPr>
                    <w:t>b</w:t>
                  </w:r>
                  <w:r w:rsidR="00243E00">
                    <w:rPr>
                      <w:rFonts w:cs="Arial"/>
                    </w:rPr>
                    <w:t>.</w:t>
                  </w:r>
                  <w:r w:rsidR="00243E00">
                    <w:rPr>
                      <w:rFonts w:cs="Arial"/>
                    </w:rPr>
                    <w:tab/>
                  </w:r>
                  <w:r w:rsidR="00243E00" w:rsidRPr="00E71892">
                    <w:rPr>
                      <w:rFonts w:cs="Arial"/>
                    </w:rPr>
                    <w:t>the</w:t>
                  </w:r>
                  <w:r w:rsidR="00243E00">
                    <w:rPr>
                      <w:rFonts w:cs="Arial"/>
                    </w:rPr>
                    <w:t xml:space="preserve"> Respondent</w:t>
                  </w:r>
                  <w:r w:rsidR="00243E00" w:rsidRPr="00E71892">
                    <w:rPr>
                      <w:rFonts w:cs="Arial"/>
                    </w:rPr>
                    <w:t xml:space="preserve"> must not communicate with </w:t>
                  </w:r>
                  <w:r w:rsidR="00243E00" w:rsidRPr="00FB2473">
                    <w:rPr>
                      <w:rFonts w:cs="Arial"/>
                    </w:rPr>
                    <w:t>[</w:t>
                  </w:r>
                  <w:r w:rsidR="00243E00" w:rsidRPr="00E71892">
                    <w:rPr>
                      <w:rFonts w:cs="Arial"/>
                      <w:i/>
                    </w:rPr>
                    <w:t>full name</w:t>
                  </w:r>
                  <w:r w:rsidR="00243E00" w:rsidRPr="00FB2473">
                    <w:rPr>
                      <w:rFonts w:cs="Arial"/>
                    </w:rPr>
                    <w:t>]</w:t>
                  </w:r>
                  <w:r w:rsidR="00243E00" w:rsidRPr="00E71892">
                    <w:rPr>
                      <w:rFonts w:cs="Arial"/>
                    </w:rPr>
                    <w:t>.</w:t>
                  </w:r>
                  <w:r w:rsidR="00243E00" w:rsidRPr="00E7189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43E00"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31D2E80D" w14:textId="77777777" w:rsidR="00243E00" w:rsidRPr="00F33293" w:rsidRDefault="00243E00" w:rsidP="00EC0159">
                  <w:pPr>
                    <w:pStyle w:val="ListParagraph"/>
                    <w:spacing w:line="276" w:lineRule="auto"/>
                    <w:contextualSpacing w:val="0"/>
                    <w:rPr>
                      <w:rFonts w:cs="Arial"/>
                      <w:b/>
                      <w:sz w:val="14"/>
                    </w:rPr>
                  </w:pP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close family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 xml:space="preserve">Criminal Procedure Act 1921 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>s 79(1)-(2)</w:t>
                  </w:r>
                </w:p>
                <w:p w14:paraId="031D1A8F" w14:textId="77777777" w:rsidR="00243E00" w:rsidRPr="00E71892" w:rsidRDefault="00243E00" w:rsidP="00EC0159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76" w:lineRule="auto"/>
                    <w:ind w:left="117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  <w:r w:rsidRPr="00E71892">
                    <w:rPr>
                      <w:rFonts w:cs="Arial"/>
                    </w:rPr>
                    <w:t>.</w:t>
                  </w:r>
                </w:p>
              </w:tc>
            </w:tr>
            <w:tr w:rsidR="008F6B70" w:rsidRPr="00E71892" w14:paraId="6C59A8DC" w14:textId="77777777" w:rsidTr="008F6B70">
              <w:tc>
                <w:tcPr>
                  <w:tcW w:w="271" w:type="pct"/>
                </w:tcPr>
                <w:p w14:paraId="62D6EE6C" w14:textId="77777777" w:rsidR="008F6B70" w:rsidRPr="00F33293" w:rsidRDefault="008F6B70" w:rsidP="00EC0159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271" w:type="pct"/>
                </w:tcPr>
                <w:p w14:paraId="6A859028" w14:textId="77777777" w:rsidR="008F6B70" w:rsidRPr="00F33293" w:rsidRDefault="008F6B70" w:rsidP="00EC015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4458" w:type="pct"/>
                </w:tcPr>
                <w:p w14:paraId="28E6E80D" w14:textId="77777777" w:rsidR="008F6B70" w:rsidRPr="00F33293" w:rsidRDefault="008F6B70" w:rsidP="00EC0159">
                  <w:pPr>
                    <w:tabs>
                      <w:tab w:val="left" w:pos="739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eastAsia="Arial" w:cs="Arial"/>
                      <w:szCs w:val="24"/>
                      <w:lang w:bidi="en-US"/>
                    </w:rPr>
                    <w:t>An I</w:t>
                  </w:r>
                  <w:r w:rsidRPr="00F33293">
                    <w:rPr>
                      <w:rFonts w:eastAsia="Arial" w:cs="Arial"/>
                      <w:szCs w:val="24"/>
                      <w:lang w:bidi="en-US"/>
                    </w:rPr>
                    <w:t xml:space="preserve">nterim </w:t>
                  </w:r>
                  <w:r w:rsidRPr="00F33293">
                    <w:rPr>
                      <w:rFonts w:cs="Arial"/>
                    </w:rPr>
                    <w:t xml:space="preserve">Place Restriction Order be issued against the </w:t>
                  </w:r>
                  <w:r>
                    <w:rPr>
                      <w:rFonts w:cs="Arial"/>
                    </w:rPr>
                    <w:t>Respondent</w:t>
                  </w:r>
                  <w:r w:rsidRPr="00F33293">
                    <w:rPr>
                      <w:rFonts w:cs="Arial"/>
                    </w:rPr>
                    <w:t xml:space="preserve"> under section 80(2) of the </w:t>
                  </w:r>
                  <w:r w:rsidRPr="00F33293">
                    <w:rPr>
                      <w:rFonts w:cs="Arial"/>
                      <w:i/>
                    </w:rPr>
                    <w:t xml:space="preserve">Criminal Procedure Act 1921 </w:t>
                  </w:r>
                  <w:r w:rsidRPr="00F33293">
                    <w:rPr>
                      <w:rFonts w:cs="Arial"/>
                    </w:rPr>
                    <w:t>in the following terms:</w:t>
                  </w:r>
                </w:p>
                <w:p w14:paraId="3D60F5EB" w14:textId="06B2C523" w:rsidR="008F6B70" w:rsidRPr="00E71892" w:rsidRDefault="008F6B70" w:rsidP="00EC0159">
                  <w:pPr>
                    <w:pStyle w:val="ListParagraph"/>
                    <w:numPr>
                      <w:ilvl w:val="1"/>
                      <w:numId w:val="19"/>
                    </w:numPr>
                    <w:spacing w:after="120" w:line="276" w:lineRule="auto"/>
                    <w:ind w:left="32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the term of the </w:t>
                  </w:r>
                  <w:r>
                    <w:rPr>
                      <w:rFonts w:cs="Arial"/>
                    </w:rPr>
                    <w:t>I</w:t>
                  </w:r>
                  <w:r w:rsidRPr="00E71892">
                    <w:rPr>
                      <w:rFonts w:cs="Arial"/>
                    </w:rPr>
                    <w:t xml:space="preserve">nterim Place Restriction Order is until the conclusion of the hearing to which the </w:t>
                  </w:r>
                  <w:r w:rsidR="00A84239">
                    <w:rPr>
                      <w:rFonts w:cs="Arial"/>
                    </w:rPr>
                    <w:t>Respondent</w:t>
                  </w:r>
                  <w:r w:rsidRPr="00E71892">
                    <w:rPr>
                      <w:rFonts w:cs="Arial"/>
                    </w:rPr>
                    <w:t xml:space="preserve"> is summoned herein.</w:t>
                  </w:r>
                </w:p>
                <w:p w14:paraId="4BC6FEE1" w14:textId="657FBCDD" w:rsidR="008F6B70" w:rsidRPr="00E71892" w:rsidRDefault="008F6B70" w:rsidP="00EC0159">
                  <w:pPr>
                    <w:pStyle w:val="ListParagraph"/>
                    <w:numPr>
                      <w:ilvl w:val="1"/>
                      <w:numId w:val="19"/>
                    </w:numPr>
                    <w:spacing w:line="276" w:lineRule="auto"/>
                    <w:ind w:left="32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the </w:t>
                  </w:r>
                  <w:r w:rsidRPr="00A84239">
                    <w:rPr>
                      <w:rFonts w:cs="Arial"/>
                      <w:iCs/>
                    </w:rPr>
                    <w:t>Respondent</w:t>
                  </w:r>
                  <w:r w:rsidRPr="00E71892">
                    <w:rPr>
                      <w:rFonts w:cs="Arial"/>
                    </w:rPr>
                    <w:t xml:space="preserve"> must not frequent or visit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address</w:t>
                  </w:r>
                  <w:r w:rsidRPr="00FB2473">
                    <w:rPr>
                      <w:rFonts w:cs="Arial"/>
                    </w:rPr>
                    <w:t>]</w:t>
                  </w:r>
                  <w:r w:rsidRPr="00E71892">
                    <w:rPr>
                      <w:rFonts w:cs="Arial"/>
                    </w:rPr>
                    <w:t xml:space="preserve">. </w:t>
                  </w:r>
                  <w:r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2C2CD4A8" w14:textId="77777777" w:rsidR="008F6B70" w:rsidRPr="00F33293" w:rsidRDefault="008F6B70" w:rsidP="00EC0159">
                  <w:pPr>
                    <w:spacing w:line="276" w:lineRule="auto"/>
                    <w:ind w:left="320" w:hanging="320"/>
                    <w:rPr>
                      <w:rFonts w:cs="Arial"/>
                    </w:rPr>
                  </w:pPr>
                  <w:r w:rsidRPr="00F33293">
                    <w:rPr>
                      <w:rFonts w:cs="Arial"/>
                    </w:rPr>
                    <w:tab/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specified locations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>Criminal Procedure Act 1921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 s 79(3)-(4)</w:t>
                  </w:r>
                </w:p>
                <w:p w14:paraId="20F83017" w14:textId="4EE6FF7B" w:rsidR="008F6B70" w:rsidRDefault="008F6B70" w:rsidP="00EC0159">
                  <w:pPr>
                    <w:tabs>
                      <w:tab w:val="left" w:pos="739"/>
                    </w:tabs>
                    <w:spacing w:after="120" w:line="276" w:lineRule="auto"/>
                    <w:rPr>
                      <w:rFonts w:eastAsia="Arial" w:cs="Arial"/>
                      <w:szCs w:val="24"/>
                      <w:lang w:bidi="en-US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manner: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</w:p>
              </w:tc>
            </w:tr>
            <w:tr w:rsidR="008F6B70" w:rsidRPr="00E71892" w14:paraId="6393C558" w14:textId="77777777" w:rsidTr="008F6B70">
              <w:tc>
                <w:tcPr>
                  <w:tcW w:w="271" w:type="pct"/>
                </w:tcPr>
                <w:p w14:paraId="51760451" w14:textId="77777777" w:rsidR="008F6B70" w:rsidRPr="00F33293" w:rsidRDefault="008F6B70" w:rsidP="00EC0159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271" w:type="pct"/>
                </w:tcPr>
                <w:p w14:paraId="3790796F" w14:textId="77777777" w:rsidR="008F6B70" w:rsidRPr="00F33293" w:rsidRDefault="008F6B70" w:rsidP="00EC015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39"/>
                    </w:tabs>
                    <w:spacing w:after="120" w:line="276" w:lineRule="auto"/>
                    <w:contextualSpacing w:val="0"/>
                    <w:rPr>
                      <w:rFonts w:cs="Arial"/>
                    </w:rPr>
                  </w:pPr>
                </w:p>
              </w:tc>
              <w:tc>
                <w:tcPr>
                  <w:tcW w:w="4458" w:type="pct"/>
                </w:tcPr>
                <w:p w14:paraId="0EE3F258" w14:textId="77777777" w:rsidR="008F6B70" w:rsidRPr="00F33293" w:rsidRDefault="008F6B70" w:rsidP="00EC0159">
                  <w:pPr>
                    <w:tabs>
                      <w:tab w:val="left" w:pos="739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eastAsia="Arial" w:cs="Arial"/>
                      <w:szCs w:val="24"/>
                      <w:lang w:bidi="en-US"/>
                    </w:rPr>
                    <w:t>An I</w:t>
                  </w:r>
                  <w:r w:rsidRPr="00F33293">
                    <w:rPr>
                      <w:rFonts w:eastAsia="Arial" w:cs="Arial"/>
                      <w:szCs w:val="24"/>
                      <w:lang w:bidi="en-US"/>
                    </w:rPr>
                    <w:t>nterim</w:t>
                  </w:r>
                  <w:r w:rsidRPr="00F33293">
                    <w:rPr>
                      <w:rFonts w:cs="Arial"/>
                    </w:rPr>
                    <w:t xml:space="preserve"> Non-Association Order be issued against the</w:t>
                  </w:r>
                  <w:r>
                    <w:rPr>
                      <w:rFonts w:cs="Arial"/>
                    </w:rPr>
                    <w:t xml:space="preserve"> Respondent</w:t>
                  </w:r>
                  <w:r w:rsidRPr="00F33293">
                    <w:rPr>
                      <w:rFonts w:cs="Arial"/>
                    </w:rPr>
                    <w:t xml:space="preserve"> under section 80(2) of the </w:t>
                  </w:r>
                  <w:r w:rsidRPr="00F33293">
                    <w:rPr>
                      <w:rFonts w:cs="Arial"/>
                      <w:i/>
                    </w:rPr>
                    <w:t>Criminal Procedure Act 1921</w:t>
                  </w:r>
                  <w:r w:rsidRPr="00F33293">
                    <w:rPr>
                      <w:rFonts w:cs="Arial"/>
                    </w:rPr>
                    <w:t xml:space="preserve">: </w:t>
                  </w:r>
                </w:p>
                <w:p w14:paraId="59D4D995" w14:textId="77777777" w:rsidR="008F6B70" w:rsidRPr="00E71892" w:rsidRDefault="008F6B70" w:rsidP="00EC0159">
                  <w:pPr>
                    <w:tabs>
                      <w:tab w:val="left" w:pos="308"/>
                    </w:tabs>
                    <w:spacing w:after="120" w:line="276" w:lineRule="auto"/>
                    <w:ind w:left="745" w:hanging="85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  <w:t>a.</w:t>
                  </w:r>
                  <w:r>
                    <w:rPr>
                      <w:rFonts w:cs="Arial"/>
                    </w:rPr>
                    <w:tab/>
                    <w:t>the term of the I</w:t>
                  </w:r>
                  <w:r w:rsidRPr="00E71892">
                    <w:rPr>
                      <w:rFonts w:cs="Arial"/>
                    </w:rPr>
                    <w:t xml:space="preserve">nterim Non-Association Order is until the conclusion of the hearing to which the </w:t>
                  </w:r>
                  <w:r>
                    <w:rPr>
                      <w:rFonts w:cs="Arial"/>
                    </w:rPr>
                    <w:t>Respondent</w:t>
                  </w:r>
                  <w:r w:rsidRPr="00E71892">
                    <w:rPr>
                      <w:rFonts w:cs="Arial"/>
                    </w:rPr>
                    <w:t xml:space="preserve"> is summoned herein.</w:t>
                  </w:r>
                </w:p>
                <w:p w14:paraId="55AC0B22" w14:textId="77777777" w:rsidR="008F6B70" w:rsidRPr="00E71892" w:rsidRDefault="008F6B70" w:rsidP="00EC0159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320"/>
                    </w:tabs>
                    <w:spacing w:line="276" w:lineRule="auto"/>
                    <w:ind w:hanging="720"/>
                    <w:contextualSpacing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b.</w:t>
                  </w:r>
                  <w:r>
                    <w:rPr>
                      <w:rFonts w:cs="Arial"/>
                    </w:rPr>
                    <w:tab/>
                  </w:r>
                  <w:r w:rsidRPr="00E71892">
                    <w:rPr>
                      <w:rFonts w:cs="Arial"/>
                    </w:rPr>
                    <w:t>the</w:t>
                  </w:r>
                  <w:r>
                    <w:rPr>
                      <w:rFonts w:cs="Arial"/>
                    </w:rPr>
                    <w:t xml:space="preserve"> Respondent</w:t>
                  </w:r>
                  <w:r w:rsidRPr="00E71892">
                    <w:rPr>
                      <w:rFonts w:cs="Arial"/>
                    </w:rPr>
                    <w:t xml:space="preserve"> must not be in the company of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full name</w:t>
                  </w:r>
                  <w:r w:rsidRPr="00FB2473">
                    <w:rPr>
                      <w:rFonts w:cs="Arial"/>
                    </w:rPr>
                    <w:t>]</w:t>
                  </w:r>
                  <w:r w:rsidRPr="00E71892">
                    <w:rPr>
                      <w:rFonts w:cs="Arial"/>
                    </w:rPr>
                    <w:t>.</w:t>
                  </w:r>
                  <w:r w:rsidRPr="00E7189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443407AB" w14:textId="77777777" w:rsidR="008F6B70" w:rsidRPr="00F33293" w:rsidRDefault="008F6B70" w:rsidP="00EC0159">
                  <w:pPr>
                    <w:pStyle w:val="ListParagraph"/>
                    <w:spacing w:line="276" w:lineRule="auto"/>
                    <w:contextualSpacing w:val="0"/>
                    <w:rPr>
                      <w:rFonts w:cs="Arial"/>
                    </w:rPr>
                  </w:pP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close family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 xml:space="preserve">Criminal Procedure Act 1921 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>s 79(1)-(2)</w:t>
                  </w:r>
                </w:p>
                <w:p w14:paraId="1B170FAD" w14:textId="77777777" w:rsidR="008F6B70" w:rsidRPr="00E71892" w:rsidRDefault="008F6B70" w:rsidP="00EC0159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76" w:lineRule="auto"/>
                    <w:ind w:left="1170"/>
                    <w:contextualSpacing w:val="0"/>
                    <w:rPr>
                      <w:rFonts w:cs="Arial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manner: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</w:p>
                <w:p w14:paraId="5EC1308B" w14:textId="77777777" w:rsidR="008F6B70" w:rsidRPr="00E71892" w:rsidRDefault="008F6B70" w:rsidP="00EC0159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320"/>
                    </w:tabs>
                    <w:spacing w:line="276" w:lineRule="auto"/>
                    <w:ind w:hanging="720"/>
                    <w:contextualSpacing w:val="0"/>
                    <w:rPr>
                      <w:rFonts w:cs="Arial"/>
                      <w:b/>
                      <w:sz w:val="14"/>
                    </w:rPr>
                  </w:pPr>
                  <w:r>
                    <w:rPr>
                      <w:rFonts w:cs="Arial"/>
                    </w:rPr>
                    <w:t>c.</w:t>
                  </w:r>
                  <w:r>
                    <w:rPr>
                      <w:rFonts w:cs="Arial"/>
                    </w:rPr>
                    <w:tab/>
                  </w:r>
                  <w:r w:rsidRPr="00E71892">
                    <w:rPr>
                      <w:rFonts w:cs="Arial"/>
                    </w:rPr>
                    <w:t>the</w:t>
                  </w:r>
                  <w:r>
                    <w:rPr>
                      <w:rFonts w:cs="Arial"/>
                    </w:rPr>
                    <w:t xml:space="preserve"> Respondent</w:t>
                  </w:r>
                  <w:r w:rsidRPr="00E71892">
                    <w:rPr>
                      <w:rFonts w:cs="Arial"/>
                    </w:rPr>
                    <w:t xml:space="preserve"> must not communicate with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full name</w:t>
                  </w:r>
                  <w:r w:rsidRPr="00FB2473">
                    <w:rPr>
                      <w:rFonts w:cs="Arial"/>
                    </w:rPr>
                    <w:t>]</w:t>
                  </w:r>
                  <w:r w:rsidRPr="00E71892">
                    <w:rPr>
                      <w:rFonts w:cs="Arial"/>
                    </w:rPr>
                    <w:t>.</w:t>
                  </w:r>
                  <w:r w:rsidRPr="00E7189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E71892">
                    <w:rPr>
                      <w:rFonts w:cs="Arial"/>
                      <w:b/>
                      <w:sz w:val="12"/>
                      <w:szCs w:val="18"/>
                    </w:rPr>
                    <w:t xml:space="preserve">provision for multiple </w:t>
                  </w:r>
                </w:p>
                <w:p w14:paraId="34703663" w14:textId="77777777" w:rsidR="008F6B70" w:rsidRPr="00F33293" w:rsidRDefault="008F6B70" w:rsidP="00EC0159">
                  <w:pPr>
                    <w:pStyle w:val="ListParagraph"/>
                    <w:spacing w:line="276" w:lineRule="auto"/>
                    <w:contextualSpacing w:val="0"/>
                    <w:rPr>
                      <w:rFonts w:cs="Arial"/>
                      <w:b/>
                      <w:sz w:val="14"/>
                    </w:rPr>
                  </w:pP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 xml:space="preserve">must not be close family except in certain circumstances – see </w:t>
                  </w:r>
                  <w:r w:rsidRPr="00F33293">
                    <w:rPr>
                      <w:rFonts w:cs="Arial"/>
                      <w:b/>
                      <w:i/>
                      <w:sz w:val="12"/>
                      <w:szCs w:val="18"/>
                    </w:rPr>
                    <w:t xml:space="preserve">Criminal Procedure Act 1921 </w:t>
                  </w:r>
                  <w:r w:rsidRPr="00F33293">
                    <w:rPr>
                      <w:rFonts w:cs="Arial"/>
                      <w:b/>
                      <w:sz w:val="12"/>
                      <w:szCs w:val="18"/>
                    </w:rPr>
                    <w:t>s 79(1)-(2)</w:t>
                  </w:r>
                </w:p>
                <w:p w14:paraId="3C8F6147" w14:textId="68BFDF38" w:rsidR="008F6B70" w:rsidRPr="004B4597" w:rsidRDefault="007D4D54" w:rsidP="004B4597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76" w:lineRule="auto"/>
                    <w:ind w:left="1170"/>
                    <w:contextualSpacing w:val="0"/>
                    <w:rPr>
                      <w:rFonts w:eastAsia="Arial" w:cs="Arial"/>
                      <w:szCs w:val="24"/>
                      <w:lang w:bidi="en-US"/>
                    </w:rPr>
                  </w:pPr>
                  <w:r w:rsidRPr="00E71892">
                    <w:rPr>
                      <w:rFonts w:cs="Arial"/>
                    </w:rPr>
                    <w:t xml:space="preserve">except in the following manner: </w:t>
                  </w:r>
                  <w:r w:rsidRPr="00FB2473">
                    <w:rPr>
                      <w:rFonts w:cs="Arial"/>
                    </w:rPr>
                    <w:t>[</w:t>
                  </w:r>
                  <w:r w:rsidRPr="00E71892">
                    <w:rPr>
                      <w:rFonts w:cs="Arial"/>
                      <w:i/>
                    </w:rPr>
                    <w:t>exceptions, including times or circumstances</w:t>
                  </w:r>
                  <w:r w:rsidRPr="00FB2473">
                    <w:rPr>
                      <w:rFonts w:cs="Arial"/>
                    </w:rPr>
                    <w:t>]</w:t>
                  </w:r>
                </w:p>
              </w:tc>
            </w:tr>
          </w:tbl>
          <w:p w14:paraId="0F582B5A" w14:textId="4971E484" w:rsidR="007C2130" w:rsidRPr="007C2130" w:rsidRDefault="007C2130" w:rsidP="00256CA2">
            <w:pPr>
              <w:keepNext/>
              <w:spacing w:line="276" w:lineRule="auto"/>
              <w:ind w:right="57"/>
              <w:rPr>
                <w:rFonts w:cs="Arial"/>
              </w:rPr>
            </w:pPr>
            <w:r w:rsidRPr="007C2130">
              <w:rPr>
                <w:rFonts w:cs="Arial"/>
              </w:rPr>
              <w:lastRenderedPageBreak/>
              <w:t xml:space="preserve">The Application is urgent because </w:t>
            </w:r>
          </w:p>
          <w:p w14:paraId="4483CE1F" w14:textId="77777777" w:rsidR="007C2130" w:rsidRPr="007C2130" w:rsidRDefault="007C2130" w:rsidP="00256CA2">
            <w:pPr>
              <w:keepNext/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38F64674" w:rsidR="009C131B" w:rsidRPr="00256CA2" w:rsidRDefault="009C131B" w:rsidP="00256CA2">
            <w:pPr>
              <w:numPr>
                <w:ilvl w:val="0"/>
                <w:numId w:val="14"/>
              </w:numPr>
              <w:spacing w:after="240"/>
              <w:ind w:left="306" w:right="57" w:hanging="357"/>
              <w:rPr>
                <w:rFonts w:cs="Arial"/>
              </w:rPr>
            </w:pPr>
          </w:p>
        </w:tc>
      </w:tr>
    </w:tbl>
    <w:p w14:paraId="65823E78" w14:textId="77777777" w:rsidR="00EC0159" w:rsidRDefault="00EC0159" w:rsidP="00780C5E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C042FE">
        <w:tc>
          <w:tcPr>
            <w:tcW w:w="5000" w:type="pct"/>
          </w:tcPr>
          <w:p w14:paraId="01E3C061" w14:textId="77777777" w:rsidR="0080238C" w:rsidRDefault="0080238C" w:rsidP="004B4597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DA55A5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0B7A522" w14:textId="0CDF4CFA" w:rsidR="0080238C" w:rsidRPr="008568E7" w:rsidRDefault="0080238C" w:rsidP="00256CA2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568E7">
              <w:rPr>
                <w:rFonts w:asciiTheme="majorHAnsi" w:hAnsiTheme="majorHAnsi" w:cstheme="majorHAnsi"/>
              </w:rPr>
              <w:t xml:space="preserve">Supporting Affidavit </w:t>
            </w:r>
            <w:r w:rsidRPr="008568E7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7F96D269" w14:textId="6D98D4E8" w:rsidR="0080238C" w:rsidRPr="008568E7" w:rsidRDefault="0080238C" w:rsidP="00256CA2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8568E7">
              <w:rPr>
                <w:rFonts w:cs="Arial"/>
                <w:lang w:val="en-US"/>
              </w:rPr>
              <w:t>If other additional document(s) please list below:</w:t>
            </w:r>
          </w:p>
          <w:p w14:paraId="6D0F9444" w14:textId="5A28EE83" w:rsidR="0080238C" w:rsidRPr="00C45A2E" w:rsidRDefault="0080238C" w:rsidP="009C1B3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7D0EA90" w:rsidR="00612586" w:rsidRPr="00187BB9" w:rsidRDefault="00612586" w:rsidP="00817CE4">
      <w:pPr>
        <w:spacing w:before="120" w:after="120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3AEC906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16304A">
      <w:rPr>
        <w:lang w:val="en-US"/>
      </w:rPr>
      <w:t>T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362ADDE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16304A">
      <w:rPr>
        <w:lang w:val="en-US"/>
      </w:rPr>
      <w:t>T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4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2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8340B"/>
    <w:multiLevelType w:val="hybridMultilevel"/>
    <w:tmpl w:val="B5EEF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C4471"/>
    <w:multiLevelType w:val="hybridMultilevel"/>
    <w:tmpl w:val="B3A2FC4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56D35"/>
    <w:multiLevelType w:val="hybridMultilevel"/>
    <w:tmpl w:val="AD2268B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22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8"/>
  </w:num>
  <w:num w:numId="10">
    <w:abstractNumId w:val="6"/>
  </w:num>
  <w:num w:numId="11">
    <w:abstractNumId w:val="9"/>
  </w:num>
  <w:num w:numId="12">
    <w:abstractNumId w:val="1"/>
  </w:num>
  <w:num w:numId="13">
    <w:abstractNumId w:val="3"/>
  </w:num>
  <w:num w:numId="14">
    <w:abstractNumId w:val="20"/>
  </w:num>
  <w:num w:numId="15">
    <w:abstractNumId w:val="14"/>
  </w:num>
  <w:num w:numId="16">
    <w:abstractNumId w:val="15"/>
  </w:num>
  <w:num w:numId="17">
    <w:abstractNumId w:val="4"/>
  </w:num>
  <w:num w:numId="18">
    <w:abstractNumId w:val="21"/>
  </w:num>
  <w:num w:numId="19">
    <w:abstractNumId w:val="24"/>
  </w:num>
  <w:num w:numId="20">
    <w:abstractNumId w:val="7"/>
  </w:num>
  <w:num w:numId="21">
    <w:abstractNumId w:val="19"/>
  </w:num>
  <w:num w:numId="22">
    <w:abstractNumId w:val="0"/>
  </w:num>
  <w:num w:numId="23">
    <w:abstractNumId w:val="23"/>
  </w:num>
  <w:num w:numId="24">
    <w:abstractNumId w:val="13"/>
  </w:num>
  <w:num w:numId="25">
    <w:abstractNumId w:val="16"/>
  </w:num>
  <w:num w:numId="2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0D8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664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3E8"/>
    <w:rsid w:val="000878EC"/>
    <w:rsid w:val="000920E7"/>
    <w:rsid w:val="00092F7F"/>
    <w:rsid w:val="0009527C"/>
    <w:rsid w:val="000A392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00A"/>
    <w:rsid w:val="000D0201"/>
    <w:rsid w:val="000D23D7"/>
    <w:rsid w:val="000D27F2"/>
    <w:rsid w:val="000D4647"/>
    <w:rsid w:val="000D4681"/>
    <w:rsid w:val="000D46DC"/>
    <w:rsid w:val="000D74AD"/>
    <w:rsid w:val="000E05D6"/>
    <w:rsid w:val="000E1CB3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12B5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304A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174C"/>
    <w:rsid w:val="001D332F"/>
    <w:rsid w:val="001D4A45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3E00"/>
    <w:rsid w:val="00245786"/>
    <w:rsid w:val="00251651"/>
    <w:rsid w:val="002536B5"/>
    <w:rsid w:val="002538AF"/>
    <w:rsid w:val="002543BA"/>
    <w:rsid w:val="002565A7"/>
    <w:rsid w:val="00256CA2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504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B4597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0645"/>
    <w:rsid w:val="00564B72"/>
    <w:rsid w:val="00565F5D"/>
    <w:rsid w:val="005702E9"/>
    <w:rsid w:val="00570F8A"/>
    <w:rsid w:val="005715D4"/>
    <w:rsid w:val="005738A3"/>
    <w:rsid w:val="005740AE"/>
    <w:rsid w:val="00576BBA"/>
    <w:rsid w:val="00577FE3"/>
    <w:rsid w:val="005800A5"/>
    <w:rsid w:val="00582825"/>
    <w:rsid w:val="005836FE"/>
    <w:rsid w:val="0058558F"/>
    <w:rsid w:val="00586585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61B"/>
    <w:rsid w:val="00780711"/>
    <w:rsid w:val="00780C5E"/>
    <w:rsid w:val="0078292E"/>
    <w:rsid w:val="00785661"/>
    <w:rsid w:val="007871F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97FA7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4D54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6FA"/>
    <w:rsid w:val="00827C95"/>
    <w:rsid w:val="0083130E"/>
    <w:rsid w:val="00831499"/>
    <w:rsid w:val="00831926"/>
    <w:rsid w:val="00832AB6"/>
    <w:rsid w:val="00835BDE"/>
    <w:rsid w:val="00836C56"/>
    <w:rsid w:val="008416E0"/>
    <w:rsid w:val="0084235C"/>
    <w:rsid w:val="00847A8A"/>
    <w:rsid w:val="00851542"/>
    <w:rsid w:val="008523D7"/>
    <w:rsid w:val="00853558"/>
    <w:rsid w:val="008568E7"/>
    <w:rsid w:val="00856CB4"/>
    <w:rsid w:val="00860A0E"/>
    <w:rsid w:val="0086333F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8F6B70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3925"/>
    <w:rsid w:val="00967A8B"/>
    <w:rsid w:val="00971D73"/>
    <w:rsid w:val="00972AFA"/>
    <w:rsid w:val="00974506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0E5"/>
    <w:rsid w:val="009C131B"/>
    <w:rsid w:val="009C2B95"/>
    <w:rsid w:val="009C31A3"/>
    <w:rsid w:val="009C3718"/>
    <w:rsid w:val="009C3836"/>
    <w:rsid w:val="009C4ADA"/>
    <w:rsid w:val="009D006A"/>
    <w:rsid w:val="009D0431"/>
    <w:rsid w:val="009D0DB0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239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2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2E51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2D4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2E6"/>
    <w:rsid w:val="00C042FE"/>
    <w:rsid w:val="00C04CAB"/>
    <w:rsid w:val="00C0652A"/>
    <w:rsid w:val="00C07264"/>
    <w:rsid w:val="00C07528"/>
    <w:rsid w:val="00C1036D"/>
    <w:rsid w:val="00C140E1"/>
    <w:rsid w:val="00C155E1"/>
    <w:rsid w:val="00C16B25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1487"/>
    <w:rsid w:val="00C924C3"/>
    <w:rsid w:val="00C92540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4D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77881"/>
    <w:rsid w:val="00D82420"/>
    <w:rsid w:val="00D82D01"/>
    <w:rsid w:val="00D8326A"/>
    <w:rsid w:val="00D8712B"/>
    <w:rsid w:val="00D9124E"/>
    <w:rsid w:val="00D921DC"/>
    <w:rsid w:val="00D9241C"/>
    <w:rsid w:val="00D92682"/>
    <w:rsid w:val="00D92C04"/>
    <w:rsid w:val="00D95971"/>
    <w:rsid w:val="00DA10FE"/>
    <w:rsid w:val="00DA2DBF"/>
    <w:rsid w:val="00DA2EFD"/>
    <w:rsid w:val="00DA336D"/>
    <w:rsid w:val="00DA45A3"/>
    <w:rsid w:val="00DA4B46"/>
    <w:rsid w:val="00DA55A5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159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05B8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16DD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BD7595F4-E8E3-4101-9AB9-5E37ADDD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1T Originating Application - Non-Association or Place Restriction Order (Interim Order Sought)</dc:title>
  <dc:subject/>
  <dc:creator>Courts Administration Authority</dc:creator>
  <cp:keywords>Forms; Special</cp:keywords>
  <dc:description/>
  <cp:lastModifiedBy/>
  <dcterms:created xsi:type="dcterms:W3CDTF">2021-07-05T23:28:00Z</dcterms:created>
  <dcterms:modified xsi:type="dcterms:W3CDTF">2022-08-03T04:31:00Z</dcterms:modified>
</cp:coreProperties>
</file>